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0C3DE6" w:rsidRDefault="00DC62F2" w:rsidP="00942799">
      <w:pPr>
        <w:spacing w:line="200" w:lineRule="exact"/>
        <w:ind w:firstLine="2880"/>
        <w:jc w:val="center"/>
        <w:rPr>
          <w:rFonts w:ascii="Times New Roman" w:hAnsi="Times New Roman"/>
          <w:b/>
          <w:lang w:val="sr-Cyrl-CS"/>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8" cstate="print"/>
                    <a:srcRect/>
                    <a:stretch>
                      <a:fillRect/>
                    </a:stretch>
                  </pic:blipFill>
                  <pic:spPr bwMode="auto">
                    <a:xfrm>
                      <a:off x="0" y="0"/>
                      <a:ext cx="1485900" cy="1426210"/>
                    </a:xfrm>
                    <a:prstGeom prst="rect">
                      <a:avLst/>
                    </a:prstGeom>
                    <a:noFill/>
                  </pic:spPr>
                </pic:pic>
              </a:graphicData>
            </a:graphic>
          </wp:anchor>
        </w:drawing>
      </w:r>
      <w:r w:rsidR="006C749A" w:rsidRPr="000C3DE6">
        <w:rPr>
          <w:rFonts w:ascii="Times New Roman" w:hAnsi="Times New Roman"/>
          <w:b/>
          <w:noProof/>
          <w:lang w:val="sr-Cyrl-CS"/>
        </w:rPr>
        <w:t>РЕПУБЛИКА СРБИЈА</w:t>
      </w:r>
    </w:p>
    <w:p w:rsidR="00F37666" w:rsidRPr="000C3DE6" w:rsidRDefault="00F37666" w:rsidP="00942799">
      <w:pPr>
        <w:spacing w:line="200" w:lineRule="exact"/>
        <w:ind w:firstLine="2880"/>
        <w:jc w:val="center"/>
        <w:rPr>
          <w:rFonts w:ascii="Times New Roman" w:hAnsi="Times New Roman"/>
          <w:b/>
          <w:lang w:val="sr-Cyrl-CS"/>
        </w:rPr>
      </w:pPr>
      <w:r w:rsidRPr="000C3DE6">
        <w:rPr>
          <w:rFonts w:ascii="Times New Roman" w:hAnsi="Times New Roman"/>
          <w:b/>
          <w:lang w:val="sr-Cyrl-CS"/>
        </w:rPr>
        <w:t>ГРАДСКИ ЗАВОД ЗА ЈАВНО ЗДРАВЉЕ, БЕОГРАД</w:t>
      </w:r>
    </w:p>
    <w:p w:rsidR="00F37666" w:rsidRPr="000C3DE6" w:rsidRDefault="00F37666" w:rsidP="00942799">
      <w:pPr>
        <w:spacing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11000 БЕОГРАД, Булевар деспота Стефана 54</w:t>
      </w:r>
      <w:r w:rsidR="00AA6893">
        <w:rPr>
          <w:rFonts w:ascii="Times New Roman" w:hAnsi="Times New Roman"/>
          <w:sz w:val="20"/>
          <w:szCs w:val="20"/>
          <w:lang w:val="sr-Latn-CS"/>
        </w:rPr>
        <w:t>-</w:t>
      </w:r>
      <w:r w:rsidRPr="000C3DE6">
        <w:rPr>
          <w:rFonts w:ascii="Times New Roman" w:hAnsi="Times New Roman"/>
          <w:sz w:val="20"/>
          <w:szCs w:val="20"/>
          <w:lang w:val="sr-Cyrl-CS"/>
        </w:rPr>
        <w:t>а</w:t>
      </w:r>
    </w:p>
    <w:p w:rsidR="00F37666" w:rsidRPr="00AA6893" w:rsidRDefault="00F37666" w:rsidP="00942799">
      <w:pPr>
        <w:tabs>
          <w:tab w:val="left" w:pos="9356"/>
        </w:tabs>
        <w:spacing w:after="120"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 xml:space="preserve">Централа: 20 78 600   </w:t>
      </w:r>
      <w:r w:rsidRPr="0012439F">
        <w:rPr>
          <w:rFonts w:ascii="Times New Roman" w:hAnsi="Times New Roman"/>
          <w:sz w:val="20"/>
          <w:szCs w:val="20"/>
        </w:rPr>
        <w:t>www</w:t>
      </w:r>
      <w:r w:rsidRPr="00AA6893">
        <w:rPr>
          <w:rFonts w:ascii="Times New Roman" w:hAnsi="Times New Roman"/>
          <w:sz w:val="20"/>
          <w:szCs w:val="20"/>
          <w:lang w:val="sr-Cyrl-CS"/>
        </w:rPr>
        <w:t>.</w:t>
      </w:r>
      <w:r w:rsidRPr="0012439F">
        <w:rPr>
          <w:rFonts w:ascii="Times New Roman" w:hAnsi="Times New Roman"/>
          <w:sz w:val="20"/>
          <w:szCs w:val="20"/>
        </w:rPr>
        <w:t>zdravlje</w:t>
      </w:r>
      <w:r w:rsidRPr="00AA6893">
        <w:rPr>
          <w:rFonts w:ascii="Times New Roman" w:hAnsi="Times New Roman"/>
          <w:sz w:val="20"/>
          <w:szCs w:val="20"/>
          <w:lang w:val="sr-Cyrl-CS"/>
        </w:rPr>
        <w:t>.</w:t>
      </w:r>
      <w:r w:rsidRPr="0012439F">
        <w:rPr>
          <w:rFonts w:ascii="Times New Roman" w:hAnsi="Times New Roman"/>
          <w:sz w:val="20"/>
          <w:szCs w:val="20"/>
        </w:rPr>
        <w:t>org</w:t>
      </w:r>
      <w:r w:rsidRPr="00AA6893">
        <w:rPr>
          <w:rFonts w:ascii="Times New Roman" w:hAnsi="Times New Roman"/>
          <w:sz w:val="20"/>
          <w:szCs w:val="20"/>
          <w:lang w:val="sr-Cyrl-CS"/>
        </w:rPr>
        <w:t>.</w:t>
      </w:r>
      <w:r w:rsidR="00AA6893">
        <w:rPr>
          <w:rFonts w:ascii="Times New Roman" w:hAnsi="Times New Roman"/>
          <w:sz w:val="20"/>
          <w:szCs w:val="20"/>
          <w:lang w:val="sr-Latn-CS"/>
        </w:rPr>
        <w:t>rs</w:t>
      </w:r>
    </w:p>
    <w:p w:rsidR="0012439F" w:rsidRPr="00AA6893" w:rsidRDefault="0012439F" w:rsidP="0012439F">
      <w:pPr>
        <w:spacing w:line="200" w:lineRule="exact"/>
        <w:ind w:firstLine="2880"/>
        <w:jc w:val="center"/>
        <w:rPr>
          <w:rFonts w:ascii="Times New Roman" w:hAnsi="Times New Roman"/>
          <w:sz w:val="20"/>
          <w:szCs w:val="20"/>
          <w:lang w:val="sr-Cyrl-CS"/>
        </w:rPr>
      </w:pPr>
      <w:r>
        <w:rPr>
          <w:rFonts w:ascii="Times New Roman" w:hAnsi="Times New Roman"/>
          <w:sz w:val="20"/>
          <w:szCs w:val="20"/>
          <w:lang w:val="sr-Cyrl-CS"/>
        </w:rPr>
        <w:t xml:space="preserve">Директор – тел: 32 33 976, факс: 32 27 828 </w:t>
      </w:r>
      <w:r>
        <w:rPr>
          <w:rFonts w:ascii="Times New Roman" w:hAnsi="Times New Roman"/>
          <w:sz w:val="20"/>
          <w:szCs w:val="20"/>
        </w:rPr>
        <w:t>email</w:t>
      </w:r>
      <w:r w:rsidRPr="00AA6893">
        <w:rPr>
          <w:rFonts w:ascii="Times New Roman" w:hAnsi="Times New Roman"/>
          <w:sz w:val="20"/>
          <w:szCs w:val="20"/>
          <w:lang w:val="sr-Cyrl-CS"/>
        </w:rPr>
        <w:t xml:space="preserve">: </w:t>
      </w:r>
      <w:r>
        <w:rPr>
          <w:rFonts w:ascii="Times New Roman" w:hAnsi="Times New Roman"/>
          <w:sz w:val="20"/>
          <w:szCs w:val="20"/>
        </w:rPr>
        <w:t>gzdir</w:t>
      </w:r>
      <w:r w:rsidRPr="00AA6893">
        <w:rPr>
          <w:rFonts w:ascii="Times New Roman" w:hAnsi="Times New Roman"/>
          <w:sz w:val="20"/>
          <w:szCs w:val="20"/>
          <w:lang w:val="sr-Cyrl-CS"/>
        </w:rPr>
        <w:t>@</w:t>
      </w:r>
      <w:r>
        <w:rPr>
          <w:rFonts w:ascii="Times New Roman" w:hAnsi="Times New Roman"/>
          <w:sz w:val="20"/>
          <w:szCs w:val="20"/>
        </w:rPr>
        <w:t>eunet</w:t>
      </w:r>
      <w:r w:rsidRPr="00AA6893">
        <w:rPr>
          <w:rFonts w:ascii="Times New Roman" w:hAnsi="Times New Roman"/>
          <w:sz w:val="20"/>
          <w:szCs w:val="20"/>
          <w:lang w:val="sr-Cyrl-CS"/>
        </w:rPr>
        <w:t>.</w:t>
      </w:r>
      <w:r w:rsidR="00EE3D8F">
        <w:rPr>
          <w:rFonts w:ascii="Times New Roman" w:hAnsi="Times New Roman"/>
          <w:sz w:val="20"/>
          <w:szCs w:val="20"/>
        </w:rPr>
        <w:t>rs</w:t>
      </w:r>
    </w:p>
    <w:p w:rsidR="00C17732" w:rsidRPr="00652D5B" w:rsidRDefault="00C00378" w:rsidP="007F2027">
      <w:pPr>
        <w:tabs>
          <w:tab w:val="left" w:pos="9356"/>
        </w:tabs>
        <w:spacing w:before="120" w:after="120" w:line="200" w:lineRule="exact"/>
        <w:jc w:val="center"/>
        <w:rPr>
          <w:rFonts w:ascii="Times New Roman" w:hAnsi="Times New Roman"/>
          <w:sz w:val="20"/>
          <w:szCs w:val="20"/>
          <w:lang w:val="sr-Cyrl-CS"/>
        </w:rPr>
      </w:pPr>
      <w:r w:rsidRPr="00C00378">
        <w:rPr>
          <w:rFonts w:ascii="Times New Roman" w:hAnsi="Times New Roman"/>
          <w:noProof/>
        </w:rPr>
        <w:pict>
          <v:line id="_x0000_s1029" style="position:absolute;left:0;text-align:left;z-index:251658240" from="135pt,14pt" to="7in,14pt"/>
        </w:pict>
      </w:r>
      <w:r w:rsidR="007F2027" w:rsidRPr="00AA6893">
        <w:rPr>
          <w:rFonts w:ascii="Times New Roman" w:hAnsi="Times New Roman"/>
          <w:sz w:val="20"/>
          <w:szCs w:val="20"/>
          <w:lang w:val="sr-Cyrl-CS"/>
        </w:rPr>
        <w:t xml:space="preserve">                                                         </w:t>
      </w:r>
      <w:r w:rsidR="00652D5B" w:rsidRPr="00652D5B">
        <w:rPr>
          <w:rFonts w:ascii="Times New Roman" w:hAnsi="Times New Roman"/>
          <w:sz w:val="20"/>
          <w:szCs w:val="20"/>
          <w:lang w:val="sr-Cyrl-CS"/>
        </w:rPr>
        <w:t xml:space="preserve">Тел:  </w:t>
      </w:r>
      <w:r w:rsidR="00CC4C5C" w:rsidRPr="00AA6893">
        <w:rPr>
          <w:rFonts w:ascii="Times New Roman" w:hAnsi="Times New Roman"/>
          <w:sz w:val="20"/>
          <w:szCs w:val="20"/>
          <w:lang w:val="sr-Cyrl-CS"/>
        </w:rPr>
        <w:t>20 78 6</w:t>
      </w:r>
      <w:r w:rsidR="003307D2">
        <w:rPr>
          <w:rFonts w:ascii="Times New Roman" w:hAnsi="Times New Roman"/>
          <w:sz w:val="20"/>
          <w:szCs w:val="20"/>
          <w:lang w:val="sr-Cyrl-CS"/>
        </w:rPr>
        <w:t>31</w:t>
      </w:r>
      <w:r w:rsidR="00652D5B" w:rsidRPr="00652D5B">
        <w:rPr>
          <w:rFonts w:ascii="Times New Roman" w:hAnsi="Times New Roman"/>
          <w:sz w:val="20"/>
          <w:szCs w:val="20"/>
          <w:lang w:val="sr-Cyrl-CS"/>
        </w:rPr>
        <w:t xml:space="preserve">        Факс:  </w:t>
      </w:r>
      <w:r w:rsidR="000B5394">
        <w:rPr>
          <w:rFonts w:ascii="Times New Roman" w:hAnsi="Times New Roman"/>
          <w:sz w:val="20"/>
          <w:szCs w:val="20"/>
          <w:lang w:val="sr-Cyrl-CS"/>
        </w:rPr>
        <w:t>32</w:t>
      </w:r>
      <w:r w:rsidR="000B5394">
        <w:rPr>
          <w:rFonts w:ascii="Times New Roman" w:hAnsi="Times New Roman"/>
          <w:sz w:val="20"/>
          <w:szCs w:val="20"/>
        </w:rPr>
        <w:t>4</w:t>
      </w:r>
      <w:r w:rsidR="00CC4C5C" w:rsidRPr="00AA6893">
        <w:rPr>
          <w:rFonts w:ascii="Times New Roman" w:hAnsi="Times New Roman"/>
          <w:sz w:val="20"/>
          <w:szCs w:val="20"/>
          <w:lang w:val="sr-Cyrl-CS"/>
        </w:rPr>
        <w:t xml:space="preserve"> </w:t>
      </w:r>
      <w:r w:rsidR="000B5394">
        <w:rPr>
          <w:rFonts w:ascii="Times New Roman" w:hAnsi="Times New Roman"/>
          <w:sz w:val="20"/>
          <w:szCs w:val="20"/>
        </w:rPr>
        <w:t>12 12</w:t>
      </w:r>
      <w:r w:rsidR="00652D5B" w:rsidRPr="00652D5B">
        <w:rPr>
          <w:rFonts w:ascii="Times New Roman" w:hAnsi="Times New Roman"/>
          <w:sz w:val="20"/>
          <w:szCs w:val="20"/>
          <w:lang w:val="sr-Cyrl-CS"/>
        </w:rPr>
        <w:t xml:space="preserve">       </w:t>
      </w:r>
      <w:r w:rsidR="00652D5B" w:rsidRPr="00652D5B">
        <w:rPr>
          <w:rFonts w:ascii="Times New Roman" w:hAnsi="Times New Roman"/>
          <w:sz w:val="20"/>
          <w:szCs w:val="20"/>
        </w:rPr>
        <w:t>e</w:t>
      </w:r>
      <w:r w:rsidR="00652D5B" w:rsidRPr="00AA6893">
        <w:rPr>
          <w:rFonts w:ascii="Times New Roman" w:hAnsi="Times New Roman"/>
          <w:sz w:val="20"/>
          <w:szCs w:val="20"/>
          <w:lang w:val="sr-Cyrl-CS"/>
        </w:rPr>
        <w:t>-</w:t>
      </w:r>
      <w:r w:rsidR="00652D5B" w:rsidRPr="00652D5B">
        <w:rPr>
          <w:rFonts w:ascii="Times New Roman" w:hAnsi="Times New Roman"/>
          <w:sz w:val="20"/>
          <w:szCs w:val="20"/>
        </w:rPr>
        <w:t>mail</w:t>
      </w:r>
      <w:r w:rsidR="00652D5B" w:rsidRPr="00AA6893">
        <w:rPr>
          <w:rFonts w:ascii="Times New Roman" w:hAnsi="Times New Roman"/>
          <w:sz w:val="20"/>
          <w:szCs w:val="20"/>
          <w:lang w:val="sr-Cyrl-CS"/>
        </w:rPr>
        <w:t xml:space="preserve">: </w:t>
      </w:r>
      <w:r w:rsidR="003307D2">
        <w:rPr>
          <w:rFonts w:ascii="Times New Roman" w:hAnsi="Times New Roman"/>
          <w:sz w:val="20"/>
          <w:szCs w:val="20"/>
        </w:rPr>
        <w:t>dusica.jovanovic</w:t>
      </w:r>
      <w:r w:rsidR="00CC4C5C" w:rsidRPr="00AA6893">
        <w:rPr>
          <w:rFonts w:ascii="Times New Roman" w:hAnsi="Times New Roman"/>
          <w:sz w:val="20"/>
          <w:szCs w:val="20"/>
          <w:lang w:val="sr-Cyrl-CS"/>
        </w:rPr>
        <w:t>@</w:t>
      </w:r>
      <w:r w:rsidR="00CC4C5C">
        <w:rPr>
          <w:rFonts w:ascii="Times New Roman" w:hAnsi="Times New Roman"/>
          <w:sz w:val="20"/>
          <w:szCs w:val="20"/>
        </w:rPr>
        <w:t>zdravlje</w:t>
      </w:r>
      <w:r w:rsidR="00CC4C5C" w:rsidRPr="00AA6893">
        <w:rPr>
          <w:rFonts w:ascii="Times New Roman" w:hAnsi="Times New Roman"/>
          <w:sz w:val="20"/>
          <w:szCs w:val="20"/>
          <w:lang w:val="sr-Cyrl-CS"/>
        </w:rPr>
        <w:t>.</w:t>
      </w:r>
      <w:r w:rsidR="00CC4C5C">
        <w:rPr>
          <w:rFonts w:ascii="Times New Roman" w:hAnsi="Times New Roman"/>
          <w:sz w:val="20"/>
          <w:szCs w:val="20"/>
        </w:rPr>
        <w:t>org</w:t>
      </w:r>
      <w:r w:rsidR="00CC4C5C" w:rsidRPr="00AA6893">
        <w:rPr>
          <w:rFonts w:ascii="Times New Roman" w:hAnsi="Times New Roman"/>
          <w:sz w:val="20"/>
          <w:szCs w:val="20"/>
          <w:lang w:val="sr-Cyrl-CS"/>
        </w:rPr>
        <w:t>.</w:t>
      </w:r>
      <w:r w:rsidR="000B5394">
        <w:rPr>
          <w:rFonts w:ascii="Times New Roman" w:hAnsi="Times New Roman"/>
          <w:sz w:val="20"/>
          <w:szCs w:val="20"/>
        </w:rPr>
        <w:t>rs</w:t>
      </w:r>
    </w:p>
    <w:p w:rsidR="00F37666" w:rsidRDefault="00F37666" w:rsidP="00942799">
      <w:pPr>
        <w:tabs>
          <w:tab w:val="left" w:pos="9356"/>
        </w:tabs>
        <w:spacing w:line="200" w:lineRule="exact"/>
        <w:ind w:firstLine="2880"/>
        <w:jc w:val="center"/>
        <w:rPr>
          <w:rFonts w:ascii="Times New Roman" w:hAnsi="Times New Roman"/>
          <w:sz w:val="20"/>
          <w:szCs w:val="20"/>
        </w:rPr>
      </w:pPr>
      <w:r w:rsidRPr="000C3DE6">
        <w:rPr>
          <w:rFonts w:ascii="Times New Roman" w:hAnsi="Times New Roman"/>
          <w:sz w:val="20"/>
          <w:szCs w:val="20"/>
          <w:lang w:val="sr-Cyrl-CS"/>
        </w:rPr>
        <w:t xml:space="preserve">Жиро рачун: 840 – 627667 </w:t>
      </w:r>
      <w:r w:rsidR="00901EA8" w:rsidRPr="000C3DE6">
        <w:rPr>
          <w:rFonts w:ascii="Times New Roman" w:hAnsi="Times New Roman"/>
          <w:sz w:val="20"/>
          <w:szCs w:val="20"/>
          <w:lang w:val="sr-Cyrl-CS"/>
        </w:rPr>
        <w:t>–</w:t>
      </w:r>
      <w:r w:rsidRPr="000C3DE6">
        <w:rPr>
          <w:rFonts w:ascii="Times New Roman" w:hAnsi="Times New Roman"/>
          <w:sz w:val="20"/>
          <w:szCs w:val="20"/>
          <w:lang w:val="sr-Cyrl-CS"/>
        </w:rPr>
        <w:t xml:space="preserve"> 91</w:t>
      </w:r>
    </w:p>
    <w:p w:rsidR="000B7FA9" w:rsidRDefault="000B7FA9" w:rsidP="000B7FA9">
      <w:pPr>
        <w:tabs>
          <w:tab w:val="left" w:pos="5715"/>
        </w:tabs>
        <w:spacing w:after="0" w:line="240" w:lineRule="auto"/>
        <w:ind w:firstLine="540"/>
        <w:jc w:val="center"/>
        <w:rPr>
          <w:rFonts w:ascii="Times New Roman" w:hAnsi="Times New Roman"/>
          <w:b/>
          <w:sz w:val="24"/>
          <w:szCs w:val="24"/>
          <w:lang w:val="sr-Cyrl-CS"/>
        </w:rPr>
      </w:pPr>
      <w:r>
        <w:rPr>
          <w:rFonts w:ascii="Times New Roman" w:hAnsi="Times New Roman"/>
          <w:b/>
          <w:sz w:val="24"/>
          <w:szCs w:val="24"/>
          <w:lang w:val="sr-Cyrl-CS"/>
        </w:rPr>
        <w:t xml:space="preserve">Појашњење тендерске документације </w:t>
      </w:r>
      <w:r>
        <w:rPr>
          <w:rFonts w:ascii="Times New Roman" w:hAnsi="Times New Roman"/>
          <w:b/>
          <w:sz w:val="24"/>
          <w:szCs w:val="24"/>
        </w:rPr>
        <w:t>M</w:t>
      </w:r>
      <w:r>
        <w:rPr>
          <w:rFonts w:ascii="Times New Roman" w:hAnsi="Times New Roman"/>
          <w:b/>
          <w:sz w:val="24"/>
          <w:szCs w:val="24"/>
          <w:lang w:val="sr-Cyrl-CS"/>
        </w:rPr>
        <w:t xml:space="preserve">НР </w:t>
      </w:r>
      <w:r w:rsidR="00D23C95">
        <w:rPr>
          <w:rFonts w:ascii="Times New Roman" w:hAnsi="Times New Roman"/>
          <w:b/>
          <w:sz w:val="24"/>
          <w:szCs w:val="24"/>
        </w:rPr>
        <w:t>10</w:t>
      </w:r>
      <w:r>
        <w:rPr>
          <w:rFonts w:ascii="Times New Roman" w:hAnsi="Times New Roman"/>
          <w:b/>
          <w:sz w:val="24"/>
          <w:szCs w:val="24"/>
        </w:rPr>
        <w:t>-</w:t>
      </w:r>
      <w:r w:rsidR="00D23C95">
        <w:rPr>
          <w:rFonts w:ascii="Times New Roman" w:hAnsi="Times New Roman"/>
          <w:b/>
          <w:sz w:val="24"/>
          <w:szCs w:val="24"/>
        </w:rPr>
        <w:t>I</w:t>
      </w:r>
      <w:r>
        <w:rPr>
          <w:rFonts w:ascii="Times New Roman" w:hAnsi="Times New Roman"/>
          <w:b/>
          <w:sz w:val="24"/>
          <w:szCs w:val="24"/>
        </w:rPr>
        <w:t>-</w:t>
      </w:r>
      <w:r w:rsidR="00D23C95">
        <w:rPr>
          <w:rFonts w:ascii="Times New Roman" w:hAnsi="Times New Roman"/>
          <w:b/>
          <w:sz w:val="24"/>
          <w:szCs w:val="24"/>
        </w:rPr>
        <w:t>35</w:t>
      </w:r>
      <w:r>
        <w:rPr>
          <w:rFonts w:ascii="Times New Roman" w:hAnsi="Times New Roman"/>
          <w:b/>
          <w:sz w:val="24"/>
          <w:szCs w:val="24"/>
        </w:rPr>
        <w:t>/14</w:t>
      </w:r>
    </w:p>
    <w:p w:rsidR="000B7FA9" w:rsidRDefault="000B7FA9" w:rsidP="000B7FA9">
      <w:pPr>
        <w:tabs>
          <w:tab w:val="left" w:pos="5715"/>
        </w:tabs>
        <w:spacing w:after="0" w:line="240" w:lineRule="auto"/>
        <w:ind w:firstLine="540"/>
        <w:jc w:val="center"/>
        <w:rPr>
          <w:rFonts w:ascii="Times New Roman" w:hAnsi="Times New Roman"/>
          <w:sz w:val="24"/>
          <w:szCs w:val="24"/>
        </w:rPr>
      </w:pPr>
    </w:p>
    <w:p w:rsidR="000B7FA9" w:rsidRDefault="000B7FA9" w:rsidP="000B7FA9">
      <w:pPr>
        <w:tabs>
          <w:tab w:val="left" w:pos="5715"/>
        </w:tabs>
        <w:spacing w:after="0" w:line="240" w:lineRule="auto"/>
        <w:ind w:firstLine="540"/>
        <w:jc w:val="center"/>
        <w:rPr>
          <w:rFonts w:ascii="Times New Roman" w:hAnsi="Times New Roman"/>
          <w:sz w:val="24"/>
          <w:szCs w:val="24"/>
        </w:rPr>
      </w:pPr>
    </w:p>
    <w:p w:rsidR="000B7FA9" w:rsidRDefault="000B7FA9" w:rsidP="000B7FA9">
      <w:pPr>
        <w:tabs>
          <w:tab w:val="left" w:pos="5715"/>
        </w:tabs>
        <w:spacing w:after="0" w:line="240" w:lineRule="auto"/>
        <w:ind w:firstLine="540"/>
        <w:jc w:val="center"/>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lang w:val="sr-Cyrl-CS"/>
        </w:rPr>
      </w:pPr>
      <w:r>
        <w:rPr>
          <w:rFonts w:ascii="Times New Roman" w:hAnsi="Times New Roman"/>
          <w:sz w:val="24"/>
          <w:szCs w:val="24"/>
          <w:lang w:val="sr-Cyrl-CS"/>
        </w:rPr>
        <w:t>На питања једног понуђача, шаљемо Вам следећи одговор</w:t>
      </w:r>
      <w:r>
        <w:rPr>
          <w:rFonts w:ascii="Times New Roman" w:hAnsi="Times New Roman"/>
          <w:sz w:val="24"/>
          <w:szCs w:val="24"/>
        </w:rPr>
        <w:t>:</w:t>
      </w: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016"/>
        <w:gridCol w:w="3333"/>
      </w:tblGrid>
      <w:tr w:rsidR="000B7FA9" w:rsidTr="000B7FA9">
        <w:tc>
          <w:tcPr>
            <w:tcW w:w="648"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both"/>
              <w:rPr>
                <w:rFonts w:ascii="Times New Roman" w:eastAsia="Times New Roman" w:hAnsi="Times New Roman"/>
                <w:b/>
                <w:sz w:val="24"/>
                <w:szCs w:val="24"/>
                <w:lang w:val="sr-Cyrl-CS"/>
              </w:rPr>
            </w:pPr>
            <w:r>
              <w:rPr>
                <w:rFonts w:ascii="Times New Roman" w:eastAsia="Times New Roman" w:hAnsi="Times New Roman"/>
                <w:b/>
                <w:sz w:val="24"/>
                <w:szCs w:val="24"/>
                <w:lang w:val="sr-Cyrl-CS"/>
              </w:rPr>
              <w:t>бр.</w:t>
            </w:r>
          </w:p>
        </w:tc>
        <w:tc>
          <w:tcPr>
            <w:tcW w:w="6016"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Питање</w:t>
            </w:r>
          </w:p>
        </w:tc>
        <w:tc>
          <w:tcPr>
            <w:tcW w:w="3333"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Одговор</w:t>
            </w:r>
          </w:p>
        </w:tc>
      </w:tr>
      <w:tr w:rsidR="000B7FA9" w:rsidTr="000B7FA9">
        <w:tc>
          <w:tcPr>
            <w:tcW w:w="648" w:type="dxa"/>
            <w:tcBorders>
              <w:top w:val="single" w:sz="4" w:space="0" w:color="auto"/>
              <w:left w:val="single" w:sz="4" w:space="0" w:color="auto"/>
              <w:bottom w:val="single" w:sz="4" w:space="0" w:color="auto"/>
              <w:right w:val="single" w:sz="4" w:space="0" w:color="auto"/>
            </w:tcBorders>
          </w:tcPr>
          <w:p w:rsidR="000B7FA9" w:rsidRDefault="000B7FA9"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6016" w:type="dxa"/>
            <w:tcBorders>
              <w:top w:val="single" w:sz="4" w:space="0" w:color="auto"/>
              <w:left w:val="single" w:sz="4" w:space="0" w:color="auto"/>
              <w:bottom w:val="single" w:sz="4" w:space="0" w:color="auto"/>
              <w:right w:val="single" w:sz="4" w:space="0" w:color="auto"/>
            </w:tcBorders>
            <w:hideMark/>
          </w:tcPr>
          <w:p w:rsidR="00D23C95" w:rsidRPr="00312415" w:rsidRDefault="00D23C95" w:rsidP="00D23C95">
            <w:pPr>
              <w:pStyle w:val="ListParagraph"/>
              <w:numPr>
                <w:ilvl w:val="0"/>
                <w:numId w:val="8"/>
              </w:numPr>
              <w:contextualSpacing/>
              <w:jc w:val="both"/>
              <w:rPr>
                <w:rFonts w:ascii="Arial Narrow" w:hAnsi="Arial Narrow" w:cs="Arial"/>
                <w:sz w:val="24"/>
              </w:rPr>
            </w:pPr>
            <w:r w:rsidRPr="00312415">
              <w:rPr>
                <w:rFonts w:ascii="Arial Narrow" w:hAnsi="Arial Narrow" w:cs="Arial"/>
                <w:sz w:val="24"/>
              </w:rPr>
              <w:t xml:space="preserve">Конкурсном документацијом </w:t>
            </w:r>
            <w:r w:rsidRPr="00312415">
              <w:rPr>
                <w:rFonts w:ascii="Arial Narrow" w:hAnsi="Arial Narrow" w:cs="Arial"/>
                <w:sz w:val="24"/>
                <w:lang w:val="sr-Cyrl-CS"/>
              </w:rPr>
              <w:t>- тачка 17</w:t>
            </w:r>
            <w:r w:rsidRPr="00312415">
              <w:rPr>
                <w:rFonts w:ascii="Arial Narrow" w:hAnsi="Arial Narrow" w:cs="Arial"/>
                <w:sz w:val="24"/>
              </w:rPr>
              <w:t>.</w:t>
            </w:r>
            <w:r w:rsidRPr="00312415">
              <w:rPr>
                <w:rFonts w:ascii="Arial Narrow" w:hAnsi="Arial Narrow" w:cs="Arial"/>
                <w:sz w:val="24"/>
                <w:lang w:val="sr-Cyrl-CS"/>
              </w:rPr>
              <w:t xml:space="preserve"> Упутства пону</w:t>
            </w:r>
            <w:r w:rsidRPr="00312415">
              <w:rPr>
                <w:rFonts w:ascii="Arial Narrow" w:hAnsi="Arial Narrow" w:cs="Arial"/>
                <w:sz w:val="24"/>
                <w:lang/>
              </w:rPr>
              <w:t>ђ</w:t>
            </w:r>
            <w:r w:rsidRPr="00312415">
              <w:rPr>
                <w:rFonts w:ascii="Arial Narrow" w:hAnsi="Arial Narrow" w:cs="Arial"/>
                <w:sz w:val="24"/>
                <w:lang w:val="sr-Cyrl-CS"/>
              </w:rPr>
              <w:t>ачима,</w:t>
            </w:r>
            <w:r w:rsidRPr="00312415">
              <w:rPr>
                <w:rFonts w:ascii="Arial Narrow" w:hAnsi="Arial Narrow" w:cs="Arial"/>
                <w:sz w:val="24"/>
              </w:rPr>
              <w:t xml:space="preserve"> као</w:t>
            </w:r>
            <w:r w:rsidRPr="00312415">
              <w:rPr>
                <w:rFonts w:ascii="Arial Narrow" w:hAnsi="Arial Narrow" w:cs="Arial"/>
                <w:sz w:val="24"/>
                <w:lang w:val="sr-Cyrl-CS"/>
              </w:rPr>
              <w:t xml:space="preserve"> један од елемената критеријума за избор економски најповољније понуде је предвиђен рок трајања вакцине</w:t>
            </w:r>
            <w:r w:rsidRPr="00312415">
              <w:rPr>
                <w:rFonts w:ascii="Arial Narrow" w:hAnsi="Arial Narrow" w:cs="Arial"/>
                <w:sz w:val="24"/>
              </w:rPr>
              <w:t xml:space="preserve"> </w:t>
            </w:r>
            <w:r w:rsidRPr="00312415">
              <w:rPr>
                <w:rFonts w:ascii="Arial Narrow" w:hAnsi="Arial Narrow" w:cs="Arial"/>
                <w:sz w:val="24"/>
                <w:lang w:val="sr-Cyrl-CS"/>
              </w:rPr>
              <w:t>, који потенцијални понуђач треба да искаже у Обрасцу понуде.</w:t>
            </w:r>
          </w:p>
          <w:p w:rsidR="00D23C95" w:rsidRDefault="00D23C95" w:rsidP="00D23C95">
            <w:pPr>
              <w:pStyle w:val="ListParagraph"/>
              <w:ind w:left="360"/>
              <w:jc w:val="both"/>
              <w:rPr>
                <w:rFonts w:ascii="Arial Narrow" w:hAnsi="Arial Narrow" w:cs="Arial"/>
                <w:sz w:val="24"/>
                <w:lang w:val="sr-Cyrl-CS"/>
              </w:rPr>
            </w:pPr>
            <w:r w:rsidRPr="00312415">
              <w:rPr>
                <w:rFonts w:ascii="Arial Narrow" w:hAnsi="Arial Narrow" w:cs="Arial"/>
                <w:sz w:val="24"/>
                <w:lang w:val="sr-Cyrl-CS"/>
              </w:rPr>
              <w:t>Молимо да наручилац јасно дефинише  исказивање рока трајања вакцине, јер је он недефинисан, у смислу да са формулацијом из конкурсне документације да је испорука сукцесивна у року од једногодишњег периода важења уговора за предметни тендер,  потенцијалном понуђачу је познато само да рок трајања вакцине почиње да тече од дана испоруке вакцине,а дан испоруке вакцине биће датум истека рока испоруке који понуђач означи у конкурсној докунментацији</w:t>
            </w:r>
            <w:r>
              <w:rPr>
                <w:rFonts w:ascii="Arial Narrow" w:hAnsi="Arial Narrow" w:cs="Arial"/>
                <w:sz w:val="24"/>
                <w:lang w:val="sr-Cyrl-CS"/>
              </w:rPr>
              <w:t xml:space="preserve">, рачунајући од захтева наручиоца, а </w:t>
            </w:r>
            <w:r w:rsidRPr="00E434D2">
              <w:rPr>
                <w:rFonts w:ascii="Arial Narrow" w:hAnsi="Arial Narrow" w:cs="Arial"/>
                <w:b/>
                <w:sz w:val="24"/>
                <w:lang w:val="sr-Cyrl-CS"/>
              </w:rPr>
              <w:t>управо термин захтева наручиоца за испоруком је непознат за потенцијалног понуђача  у моменту припремања понуд</w:t>
            </w:r>
            <w:r>
              <w:rPr>
                <w:rFonts w:ascii="Arial Narrow" w:hAnsi="Arial Narrow" w:cs="Arial"/>
                <w:b/>
                <w:sz w:val="24"/>
                <w:lang w:val="sr-Cyrl-CS"/>
              </w:rPr>
              <w:t>е.</w:t>
            </w:r>
            <w:r>
              <w:rPr>
                <w:rFonts w:ascii="Arial Narrow" w:hAnsi="Arial Narrow" w:cs="Arial"/>
                <w:sz w:val="24"/>
                <w:lang w:val="sr-Cyrl-CS"/>
              </w:rPr>
              <w:t xml:space="preserve"> </w:t>
            </w:r>
          </w:p>
          <w:p w:rsidR="00D23C95" w:rsidRDefault="00D23C95" w:rsidP="00D23C95">
            <w:pPr>
              <w:pStyle w:val="ListParagraph"/>
              <w:ind w:left="360"/>
              <w:jc w:val="both"/>
              <w:rPr>
                <w:rFonts w:ascii="Arial Narrow" w:hAnsi="Arial Narrow" w:cs="Arial"/>
                <w:sz w:val="24"/>
                <w:lang w:val="sr-Cyrl-CS"/>
              </w:rPr>
            </w:pPr>
            <w:r>
              <w:rPr>
                <w:rFonts w:ascii="Arial Narrow" w:hAnsi="Arial Narrow" w:cs="Arial"/>
                <w:sz w:val="24"/>
                <w:lang w:val="sr-Cyrl-CS"/>
              </w:rPr>
              <w:lastRenderedPageBreak/>
              <w:t>Такође, молимо да наручилац дефинише како да се искаже рок трајања вакцине тј. да ли у данима или месецима.</w:t>
            </w:r>
          </w:p>
          <w:p w:rsidR="000B7FA9" w:rsidRDefault="00D23C95" w:rsidP="00D23C95">
            <w:pPr>
              <w:pStyle w:val="ListParagraph"/>
              <w:ind w:left="360"/>
              <w:jc w:val="both"/>
              <w:rPr>
                <w:rFonts w:ascii="Times New Roman" w:eastAsia="Times New Roman" w:hAnsi="Times New Roman"/>
              </w:rPr>
            </w:pPr>
            <w:r>
              <w:rPr>
                <w:rFonts w:ascii="Arial Narrow" w:hAnsi="Arial Narrow" w:cs="Arial"/>
                <w:sz w:val="24"/>
                <w:lang w:val="sr-Cyrl-CS"/>
              </w:rPr>
              <w:t>Напомињемо да овако недефинисан рок трајања вакцине у овој фази поступка јавне набавке онемогућава потенцијалног понуђача да  прецизно искаже рок трајања вакцине, а у каснијој фази поступка приликом оцене понуда и пондирања може довести до повреде права понуђача.</w:t>
            </w:r>
          </w:p>
        </w:tc>
        <w:tc>
          <w:tcPr>
            <w:tcW w:w="3333" w:type="dxa"/>
            <w:tcBorders>
              <w:top w:val="single" w:sz="4" w:space="0" w:color="auto"/>
              <w:left w:val="single" w:sz="4" w:space="0" w:color="auto"/>
              <w:bottom w:val="single" w:sz="4" w:space="0" w:color="auto"/>
              <w:right w:val="single" w:sz="4" w:space="0" w:color="auto"/>
            </w:tcBorders>
            <w:hideMark/>
          </w:tcPr>
          <w:p w:rsidR="00D23C95" w:rsidRPr="00312415" w:rsidRDefault="00D23C95" w:rsidP="00D23C95">
            <w:pPr>
              <w:rPr>
                <w:lang/>
              </w:rPr>
            </w:pPr>
            <w:r w:rsidRPr="00312415">
              <w:rPr>
                <w:lang/>
              </w:rPr>
              <w:lastRenderedPageBreak/>
              <w:t xml:space="preserve">Имајућу у виду </w:t>
            </w:r>
            <w:r w:rsidRPr="00312415">
              <w:rPr>
                <w:lang/>
              </w:rPr>
              <w:t xml:space="preserve"> </w:t>
            </w:r>
            <w:r w:rsidRPr="00312415">
              <w:rPr>
                <w:lang/>
              </w:rPr>
              <w:t xml:space="preserve">да је рок трајања вакцина </w:t>
            </w:r>
            <w:r>
              <w:rPr>
                <w:lang/>
              </w:rPr>
              <w:t>од тренутка производње</w:t>
            </w:r>
            <w:r w:rsidRPr="00312415">
              <w:rPr>
                <w:lang/>
              </w:rPr>
              <w:t xml:space="preserve"> 1 до 3 године</w:t>
            </w:r>
            <w:r>
              <w:rPr>
                <w:lang/>
              </w:rPr>
              <w:t>,</w:t>
            </w:r>
            <w:r w:rsidRPr="00312415">
              <w:rPr>
                <w:lang/>
              </w:rPr>
              <w:t xml:space="preserve"> за вакцине које су  наведене у партијама предметне јавне набавке, сматрамо да  рок трајања вакцине у критеријуму за пондерисање, може бити дефинисан на следећи начин:</w:t>
            </w:r>
          </w:p>
          <w:p w:rsidR="00D23C95" w:rsidRDefault="00D23C95" w:rsidP="00D23C95">
            <w:pPr>
              <w:pStyle w:val="ListParagraph"/>
              <w:ind w:left="360"/>
              <w:rPr>
                <w:b/>
                <w:lang/>
              </w:rPr>
            </w:pPr>
            <w:r w:rsidRPr="00312415">
              <w:rPr>
                <w:b/>
                <w:lang/>
              </w:rPr>
              <w:t>Рок трајања вакцине (</w:t>
            </w:r>
            <w:r>
              <w:rPr>
                <w:b/>
                <w:lang/>
              </w:rPr>
              <w:t>нај</w:t>
            </w:r>
            <w:r w:rsidRPr="00312415">
              <w:rPr>
                <w:b/>
                <w:lang/>
              </w:rPr>
              <w:t>дужи рок трајања вакцине), али не  краћи од 6 месеци у тренутку испоруке вакцине.</w:t>
            </w:r>
          </w:p>
          <w:p w:rsidR="000B7FA9" w:rsidRDefault="000B7FA9">
            <w:pPr>
              <w:spacing w:after="0"/>
              <w:rPr>
                <w:rFonts w:ascii="Arial" w:eastAsia="Times New Roman" w:hAnsi="Arial" w:cs="Arial"/>
                <w:b/>
                <w:lang w:val="sr-Latn-CS"/>
              </w:rPr>
            </w:pPr>
          </w:p>
        </w:tc>
      </w:tr>
      <w:tr w:rsidR="000B7FA9" w:rsidTr="000B7FA9">
        <w:tc>
          <w:tcPr>
            <w:tcW w:w="648" w:type="dxa"/>
            <w:tcBorders>
              <w:top w:val="single" w:sz="4" w:space="0" w:color="auto"/>
              <w:left w:val="single" w:sz="4" w:space="0" w:color="auto"/>
              <w:bottom w:val="single" w:sz="4" w:space="0" w:color="auto"/>
              <w:right w:val="single" w:sz="4" w:space="0" w:color="auto"/>
            </w:tcBorders>
          </w:tcPr>
          <w:p w:rsidR="000B7FA9" w:rsidRDefault="000B7FA9"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6016" w:type="dxa"/>
            <w:tcBorders>
              <w:top w:val="single" w:sz="4" w:space="0" w:color="auto"/>
              <w:left w:val="single" w:sz="4" w:space="0" w:color="auto"/>
              <w:bottom w:val="single" w:sz="4" w:space="0" w:color="auto"/>
              <w:right w:val="single" w:sz="4" w:space="0" w:color="auto"/>
            </w:tcBorders>
            <w:hideMark/>
          </w:tcPr>
          <w:p w:rsidR="000B7FA9" w:rsidRDefault="00D23C95" w:rsidP="00D23C95">
            <w:pPr>
              <w:pStyle w:val="ListParagraph"/>
              <w:numPr>
                <w:ilvl w:val="0"/>
                <w:numId w:val="8"/>
              </w:numPr>
              <w:contextualSpacing/>
              <w:jc w:val="both"/>
              <w:rPr>
                <w:rFonts w:ascii="Arial" w:eastAsia="Times New Roman" w:hAnsi="Arial" w:cs="Arial"/>
                <w:b/>
                <w:bCs/>
                <w:color w:val="1F497D"/>
              </w:rPr>
            </w:pPr>
            <w:r w:rsidRPr="00312415">
              <w:rPr>
                <w:rFonts w:ascii="Arial Narrow" w:hAnsi="Arial Narrow" w:cs="Arial"/>
                <w:sz w:val="24"/>
              </w:rPr>
              <w:t>У вези</w:t>
            </w:r>
            <w:r w:rsidRPr="00312415">
              <w:rPr>
                <w:rFonts w:ascii="Arial Narrow" w:hAnsi="Arial Narrow" w:cs="Arial"/>
                <w:sz w:val="24"/>
                <w:lang w:val="sr-Cyrl-CS"/>
              </w:rPr>
              <w:t xml:space="preserve"> захтева наручиоца да понуђачи, приликом подношења понуде, доставе </w:t>
            </w:r>
            <w:r w:rsidRPr="00312415">
              <w:rPr>
                <w:rFonts w:ascii="Arial Narrow" w:hAnsi="Arial Narrow" w:cs="Arial"/>
                <w:b/>
                <w:sz w:val="24"/>
                <w:lang w:val="sr-Cyrl-CS"/>
              </w:rPr>
              <w:t>Цертификат о исправности вакцине</w:t>
            </w:r>
            <w:r w:rsidRPr="00312415">
              <w:rPr>
                <w:rFonts w:ascii="Arial Narrow" w:hAnsi="Arial Narrow" w:cs="Arial"/>
                <w:sz w:val="24"/>
                <w:lang w:val="sr-Cyrl-CS"/>
              </w:rPr>
              <w:t xml:space="preserve"> издате од стране АЛИМС- а , мишљења смо да се тиме </w:t>
            </w:r>
            <w:r w:rsidRPr="00312415">
              <w:rPr>
                <w:rFonts w:ascii="Arial Narrow" w:hAnsi="Arial Narrow" w:cs="Arial"/>
                <w:b/>
                <w:sz w:val="24"/>
                <w:lang w:val="sr-Cyrl-CS"/>
              </w:rPr>
              <w:t>повређују два начела Закона о јавним набавкама, из  чл.10.- Начело обезбеђивања конкуренције и чл. 12.-Начело једнакости понуђача</w:t>
            </w:r>
            <w:r w:rsidRPr="00312415">
              <w:rPr>
                <w:rFonts w:ascii="Arial Narrow" w:hAnsi="Arial Narrow" w:cs="Arial"/>
                <w:sz w:val="24"/>
                <w:lang w:val="sr-Cyrl-CS"/>
              </w:rPr>
              <w:t>.</w:t>
            </w:r>
            <w:r>
              <w:rPr>
                <w:rFonts w:ascii="Arial Narrow" w:hAnsi="Arial Narrow" w:cs="Arial"/>
                <w:sz w:val="24"/>
                <w:lang w:val="sr-Cyrl-CS"/>
              </w:rPr>
              <w:t xml:space="preserve"> </w:t>
            </w:r>
            <w:r w:rsidRPr="00312415">
              <w:rPr>
                <w:rFonts w:ascii="Arial Narrow" w:hAnsi="Arial Narrow" w:cs="Arial"/>
                <w:sz w:val="24"/>
                <w:lang w:val="sr-Cyrl-CS"/>
              </w:rPr>
              <w:t xml:space="preserve">Наиме,Цертификате анализе од АЛИМС-а би могли да доставе уз понуду искључиво они понуђачи који,у време благовременог подношења понуде, имају на лагеру захтеване количине предметних вакцина, а за партију </w:t>
            </w:r>
            <w:r w:rsidRPr="00312415">
              <w:rPr>
                <w:rFonts w:ascii="Arial Narrow" w:hAnsi="Arial Narrow" w:cs="Arial"/>
                <w:sz w:val="24"/>
              </w:rPr>
              <w:t>I-</w:t>
            </w:r>
            <w:r w:rsidRPr="00312415">
              <w:rPr>
                <w:rFonts w:ascii="Arial Narrow" w:hAnsi="Arial Narrow" w:cs="Arial"/>
                <w:sz w:val="24"/>
                <w:lang w:val="sr-Cyrl-CS"/>
              </w:rPr>
              <w:t>Вакцина против грипа ниједан потенцијални понуђач не може да поднесе захтевани цертификат због сезонског карактера вакцине.</w:t>
            </w:r>
            <w:r>
              <w:rPr>
                <w:rFonts w:ascii="Arial Narrow" w:hAnsi="Arial Narrow" w:cs="Arial"/>
                <w:sz w:val="24"/>
                <w:lang w:val="sr-Cyrl-CS"/>
              </w:rPr>
              <w:t xml:space="preserve"> </w:t>
            </w:r>
            <w:r w:rsidRPr="00312415">
              <w:rPr>
                <w:rFonts w:ascii="Arial Narrow" w:hAnsi="Arial Narrow" w:cs="Arial"/>
                <w:sz w:val="24"/>
                <w:lang w:val="sr-Cyrl-CS"/>
              </w:rPr>
              <w:t xml:space="preserve">Молимо да наручилац измени овај захтев и </w:t>
            </w:r>
            <w:r w:rsidRPr="00312415">
              <w:rPr>
                <w:rFonts w:ascii="Arial Narrow" w:hAnsi="Arial Narrow" w:cs="Arial"/>
                <w:b/>
                <w:sz w:val="24"/>
                <w:lang w:val="sr-Cyrl-CS"/>
              </w:rPr>
              <w:t>да предвиди изменом конкурсне документације да ће изабрани понуђач бити у обавези да приликом испоруке за предметне вакцине достави важеће Цертификате анализе издате од стране АЛИМС-а за испоручене серије</w:t>
            </w:r>
            <w:r w:rsidRPr="00312415">
              <w:rPr>
                <w:rFonts w:ascii="Arial Narrow" w:hAnsi="Arial Narrow" w:cs="Arial"/>
                <w:sz w:val="24"/>
                <w:lang w:val="sr-Cyrl-CS"/>
              </w:rPr>
              <w:t xml:space="preserve">.Прихватањем ове измене, наручилац омогућава свим заинтересованим лицима да благовремено потврде поруджбине за увозом потребних количина предметних вакцина, уз достављање важећих цертификата АЛИМС-а за испоручене серије вакцине. </w:t>
            </w:r>
            <w:r w:rsidRPr="00312415">
              <w:rPr>
                <w:rFonts w:ascii="Arial Narrow" w:hAnsi="Arial Narrow" w:cs="Arial"/>
                <w:b/>
                <w:i/>
                <w:sz w:val="24"/>
              </w:rPr>
              <w:t xml:space="preserve"> </w:t>
            </w:r>
          </w:p>
        </w:tc>
        <w:tc>
          <w:tcPr>
            <w:tcW w:w="3333" w:type="dxa"/>
            <w:tcBorders>
              <w:top w:val="single" w:sz="4" w:space="0" w:color="auto"/>
              <w:left w:val="single" w:sz="4" w:space="0" w:color="auto"/>
              <w:bottom w:val="single" w:sz="4" w:space="0" w:color="auto"/>
              <w:right w:val="single" w:sz="4" w:space="0" w:color="auto"/>
            </w:tcBorders>
            <w:hideMark/>
          </w:tcPr>
          <w:p w:rsidR="00D23C95" w:rsidRDefault="00D23C95" w:rsidP="00D23C95">
            <w:pPr>
              <w:pStyle w:val="ListParagraph"/>
              <w:ind w:left="501"/>
              <w:rPr>
                <w:b/>
                <w:lang/>
              </w:rPr>
            </w:pPr>
            <w:r>
              <w:rPr>
                <w:b/>
                <w:lang/>
              </w:rPr>
              <w:t>Неопходно је да се приликом испоруке вакцина достави важећи сертификат о исправности вакцине који је издат од стране Агенције за лекове и медицинска средства за серије вакцина које се дистрибуирају. У конкурсној документацији потребно је да  изабрани понуђач приложи изјаву да ће се сертификат о исправности вакцина издат од стране Агенције за лекове и медицинска средства,   доставити уз сваку серију вакцине која се доставља Градском заводу за јавно здравље Београд.</w:t>
            </w:r>
          </w:p>
          <w:p w:rsidR="000B7FA9" w:rsidRDefault="000B7FA9">
            <w:pPr>
              <w:spacing w:after="0"/>
              <w:rPr>
                <w:rFonts w:ascii="Arial" w:eastAsia="Times New Roman" w:hAnsi="Arial" w:cs="Arial"/>
                <w:b/>
                <w:lang w:val="sr-Latn-CS"/>
              </w:rPr>
            </w:pPr>
          </w:p>
        </w:tc>
      </w:tr>
      <w:tr w:rsidR="00D23C95" w:rsidTr="000B7FA9">
        <w:tc>
          <w:tcPr>
            <w:tcW w:w="648" w:type="dxa"/>
            <w:tcBorders>
              <w:top w:val="single" w:sz="4" w:space="0" w:color="auto"/>
              <w:left w:val="single" w:sz="4" w:space="0" w:color="auto"/>
              <w:bottom w:val="single" w:sz="4" w:space="0" w:color="auto"/>
              <w:right w:val="single" w:sz="4" w:space="0" w:color="auto"/>
            </w:tcBorders>
          </w:tcPr>
          <w:p w:rsidR="00D23C95" w:rsidRDefault="00D23C95"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6016" w:type="dxa"/>
            <w:tcBorders>
              <w:top w:val="single" w:sz="4" w:space="0" w:color="auto"/>
              <w:left w:val="single" w:sz="4" w:space="0" w:color="auto"/>
              <w:bottom w:val="single" w:sz="4" w:space="0" w:color="auto"/>
              <w:right w:val="single" w:sz="4" w:space="0" w:color="auto"/>
            </w:tcBorders>
            <w:hideMark/>
          </w:tcPr>
          <w:p w:rsidR="00D23C95" w:rsidRPr="00312415" w:rsidRDefault="00D23C95" w:rsidP="00D23C95">
            <w:pPr>
              <w:pStyle w:val="ListParagraph"/>
              <w:numPr>
                <w:ilvl w:val="0"/>
                <w:numId w:val="8"/>
              </w:numPr>
              <w:contextualSpacing/>
              <w:jc w:val="both"/>
              <w:rPr>
                <w:rFonts w:ascii="Arial Narrow" w:hAnsi="Arial Narrow" w:cs="Arial"/>
                <w:sz w:val="24"/>
              </w:rPr>
            </w:pPr>
            <w:r>
              <w:rPr>
                <w:rFonts w:ascii="Arial Narrow" w:hAnsi="Arial Narrow" w:cs="Arial"/>
                <w:b/>
                <w:sz w:val="24"/>
                <w:lang w:val="sr-Cyrl-CS"/>
              </w:rPr>
              <w:t xml:space="preserve">Молимо да наручилац дефинише за  партију </w:t>
            </w:r>
            <w:r>
              <w:rPr>
                <w:rFonts w:ascii="Arial Narrow" w:hAnsi="Arial Narrow" w:cs="Arial"/>
                <w:b/>
                <w:sz w:val="24"/>
              </w:rPr>
              <w:t>III-</w:t>
            </w:r>
            <w:r>
              <w:rPr>
                <w:rFonts w:ascii="Arial Narrow" w:hAnsi="Arial Narrow" w:cs="Arial"/>
                <w:b/>
                <w:sz w:val="24"/>
                <w:lang w:val="sr-Cyrl-CS"/>
              </w:rPr>
              <w:t xml:space="preserve"> </w:t>
            </w:r>
            <w:r>
              <w:rPr>
                <w:rFonts w:ascii="Arial Narrow" w:hAnsi="Arial Narrow" w:cs="Arial"/>
                <w:b/>
                <w:sz w:val="24"/>
                <w:lang w:val="sr-Cyrl-CS"/>
              </w:rPr>
              <w:lastRenderedPageBreak/>
              <w:t>Вакцина против хепатититса А и хепатитиса Б,комбинована, да ли се ради о вакцини за одрасле или за децу, јер у опису предметне вакцине није наведена јачина.</w:t>
            </w:r>
          </w:p>
        </w:tc>
        <w:tc>
          <w:tcPr>
            <w:tcW w:w="3333" w:type="dxa"/>
            <w:tcBorders>
              <w:top w:val="single" w:sz="4" w:space="0" w:color="auto"/>
              <w:left w:val="single" w:sz="4" w:space="0" w:color="auto"/>
              <w:bottom w:val="single" w:sz="4" w:space="0" w:color="auto"/>
              <w:right w:val="single" w:sz="4" w:space="0" w:color="auto"/>
            </w:tcBorders>
            <w:hideMark/>
          </w:tcPr>
          <w:p w:rsidR="00D23C95" w:rsidRDefault="00D23C95" w:rsidP="00D23C95">
            <w:pPr>
              <w:pStyle w:val="ListParagraph"/>
              <w:ind w:left="501"/>
              <w:rPr>
                <w:b/>
                <w:lang/>
              </w:rPr>
            </w:pPr>
            <w:r>
              <w:rPr>
                <w:b/>
                <w:lang/>
              </w:rPr>
              <w:lastRenderedPageBreak/>
              <w:t xml:space="preserve">За потребе вакцинације </w:t>
            </w:r>
            <w:r>
              <w:rPr>
                <w:b/>
                <w:lang/>
              </w:rPr>
              <w:lastRenderedPageBreak/>
              <w:t>пацијената у Јединици за имунизацију, потребно је обезбедити комбиновану вакцину против хепатитиса А и Хепатитиса Б за одрасле.</w:t>
            </w:r>
          </w:p>
        </w:tc>
      </w:tr>
    </w:tbl>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D23C95" w:rsidRDefault="000B7FA9" w:rsidP="00D23C95">
      <w:pPr>
        <w:tabs>
          <w:tab w:val="left" w:pos="5715"/>
        </w:tabs>
        <w:spacing w:after="0" w:line="240" w:lineRule="auto"/>
        <w:ind w:firstLine="540"/>
        <w:jc w:val="center"/>
        <w:rPr>
          <w:rFonts w:ascii="Times New Roman" w:hAnsi="Times New Roman"/>
          <w:b/>
          <w:sz w:val="24"/>
          <w:szCs w:val="24"/>
          <w:lang w:val="sr-Cyrl-CS"/>
        </w:rPr>
      </w:pPr>
      <w:r>
        <w:rPr>
          <w:rFonts w:ascii="Times New Roman" w:hAnsi="Times New Roman"/>
          <w:sz w:val="24"/>
          <w:szCs w:val="24"/>
        </w:rPr>
        <w:t>Београд, 0</w:t>
      </w:r>
      <w:r w:rsidR="00D23C95">
        <w:rPr>
          <w:rFonts w:ascii="Times New Roman" w:hAnsi="Times New Roman"/>
          <w:sz w:val="24"/>
          <w:szCs w:val="24"/>
        </w:rPr>
        <w:t>3</w:t>
      </w:r>
      <w:r>
        <w:rPr>
          <w:rFonts w:ascii="Times New Roman" w:hAnsi="Times New Roman"/>
          <w:sz w:val="24"/>
          <w:szCs w:val="24"/>
        </w:rPr>
        <w:t>.0</w:t>
      </w:r>
      <w:r w:rsidR="00D23C95">
        <w:rPr>
          <w:rFonts w:ascii="Times New Roman" w:hAnsi="Times New Roman"/>
          <w:sz w:val="24"/>
          <w:szCs w:val="24"/>
        </w:rPr>
        <w:t>7</w:t>
      </w:r>
      <w:r>
        <w:rPr>
          <w:rFonts w:ascii="Times New Roman" w:hAnsi="Times New Roman"/>
          <w:sz w:val="24"/>
          <w:szCs w:val="24"/>
        </w:rPr>
        <w:t>.2014.                                     КОМИСИЈА ЗА ЈАВНУ НАБАВКУ</w:t>
      </w:r>
      <w:r>
        <w:rPr>
          <w:rFonts w:ascii="Times New Roman" w:hAnsi="Times New Roman"/>
          <w:b/>
          <w:sz w:val="24"/>
          <w:szCs w:val="24"/>
        </w:rPr>
        <w:t xml:space="preserve"> </w:t>
      </w:r>
      <w:r w:rsidR="00D23C95">
        <w:rPr>
          <w:rFonts w:ascii="Times New Roman" w:hAnsi="Times New Roman"/>
          <w:b/>
          <w:sz w:val="24"/>
          <w:szCs w:val="24"/>
        </w:rPr>
        <w:t>10-I-35/14</w:t>
      </w:r>
    </w:p>
    <w:p w:rsidR="000B7FA9" w:rsidRDefault="000B7FA9" w:rsidP="00D23C95">
      <w:pPr>
        <w:tabs>
          <w:tab w:val="left" w:pos="5715"/>
        </w:tabs>
        <w:spacing w:after="0" w:line="240" w:lineRule="auto"/>
        <w:rPr>
          <w:rFonts w:ascii="Times New Roman" w:hAnsi="Times New Roman"/>
          <w:sz w:val="24"/>
          <w:szCs w:val="24"/>
          <w:lang w:val="sr-Cyrl-CS"/>
        </w:rPr>
      </w:pPr>
    </w:p>
    <w:p w:rsidR="00D62BDF" w:rsidRPr="000C7480" w:rsidRDefault="00D62BDF" w:rsidP="008038A4">
      <w:pPr>
        <w:tabs>
          <w:tab w:val="left" w:pos="9356"/>
        </w:tabs>
        <w:spacing w:line="200" w:lineRule="exact"/>
        <w:rPr>
          <w:rFonts w:ascii="Times New Roman" w:hAnsi="Times New Roman"/>
          <w:sz w:val="24"/>
          <w:szCs w:val="24"/>
        </w:rPr>
      </w:pPr>
    </w:p>
    <w:sectPr w:rsidR="00D62BDF" w:rsidRPr="000C7480" w:rsidSect="00AA6893">
      <w:footerReference w:type="even" r:id="rId9"/>
      <w:footerReference w:type="default" r:id="rId10"/>
      <w:pgSz w:w="12240" w:h="15840"/>
      <w:pgMar w:top="540" w:right="1041" w:bottom="1440" w:left="1418" w:header="708" w:footer="2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57D" w:rsidRDefault="0069757D">
      <w:r>
        <w:separator/>
      </w:r>
    </w:p>
  </w:endnote>
  <w:endnote w:type="continuationSeparator" w:id="0">
    <w:p w:rsidR="0069757D" w:rsidRDefault="006975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2">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Default="00C00378" w:rsidP="00AA6893">
    <w:pPr>
      <w:pStyle w:val="Footer"/>
      <w:framePr w:wrap="around" w:vAnchor="text" w:hAnchor="margin" w:xAlign="right" w:y="1"/>
      <w:rPr>
        <w:rStyle w:val="PageNumber"/>
      </w:rPr>
    </w:pPr>
    <w:r>
      <w:rPr>
        <w:rStyle w:val="PageNumber"/>
      </w:rPr>
      <w:fldChar w:fldCharType="begin"/>
    </w:r>
    <w:r w:rsidR="00BB495C">
      <w:rPr>
        <w:rStyle w:val="PageNumber"/>
      </w:rPr>
      <w:instrText xml:space="preserve">PAGE  </w:instrText>
    </w:r>
    <w:r>
      <w:rPr>
        <w:rStyle w:val="PageNumber"/>
      </w:rPr>
      <w:fldChar w:fldCharType="end"/>
    </w:r>
  </w:p>
  <w:p w:rsidR="00BB495C" w:rsidRDefault="00BB495C" w:rsidP="00AA6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Pr="00D07DBA" w:rsidRDefault="00BB495C" w:rsidP="00AA6893">
    <w:pPr>
      <w:pBdr>
        <w:top w:val="single" w:sz="4" w:space="1" w:color="auto"/>
      </w:pBdr>
      <w:spacing w:after="0" w:line="240" w:lineRule="auto"/>
      <w:rPr>
        <w:rFonts w:ascii="Times New Roman" w:hAnsi="Times New Roman"/>
        <w:lang w:val="sr-Latn-CS"/>
      </w:rPr>
    </w:pPr>
    <w:r>
      <w:rPr>
        <w:rFonts w:ascii="Times New Roman" w:hAnsi="Times New Roman"/>
        <w:lang w:val="sr-Latn-CS"/>
      </w:rPr>
      <w:t xml:space="preserve">                                                                         </w:t>
    </w:r>
    <w:r>
      <w:rPr>
        <w:rFonts w:ascii="Times New Roman" w:hAnsi="Times New Roman"/>
        <w:lang w:val="sr-Latn-CS"/>
      </w:rPr>
      <w:tab/>
    </w:r>
    <w:r>
      <w:rPr>
        <w:rFonts w:ascii="Times New Roman" w:hAnsi="Times New Roman"/>
        <w:lang w:val="sr-Latn-CS"/>
      </w:rPr>
      <w:tab/>
      <w:t xml:space="preserve">                      </w:t>
    </w:r>
  </w:p>
  <w:tbl>
    <w:tblPr>
      <w:tblW w:w="0" w:type="auto"/>
      <w:jc w:val="center"/>
      <w:tblLook w:val="01E0"/>
    </w:tblPr>
    <w:tblGrid>
      <w:gridCol w:w="2132"/>
      <w:gridCol w:w="4264"/>
      <w:gridCol w:w="2133"/>
    </w:tblGrid>
    <w:tr w:rsidR="00EE3D8F" w:rsidRPr="00C444F2" w:rsidTr="00077703">
      <w:trPr>
        <w:jc w:val="center"/>
      </w:trPr>
      <w:tc>
        <w:tcPr>
          <w:tcW w:w="2132" w:type="dxa"/>
        </w:tcPr>
        <w:p w:rsidR="00EE3D8F" w:rsidRPr="00807D36" w:rsidRDefault="00DC62F2" w:rsidP="00077703">
          <w:pPr>
            <w:rPr>
              <w:rFonts w:ascii="Tahoma" w:hAnsi="Tahoma" w:cs="Tahoma"/>
              <w:sz w:val="16"/>
              <w:szCs w:val="16"/>
            </w:rPr>
          </w:pPr>
          <w:r>
            <w:rPr>
              <w:rFonts w:ascii="Tahoma" w:hAnsi="Tahoma" w:cs="Tahoma"/>
              <w:noProof/>
              <w:sz w:val="16"/>
              <w:szCs w:val="16"/>
            </w:rPr>
            <w:drawing>
              <wp:inline distT="0" distB="0" distL="0" distR="0">
                <wp:extent cx="914400" cy="914400"/>
                <wp:effectExtent l="19050" t="0" r="0" b="0"/>
                <wp:docPr id="1" name="Picture 1" descr="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tcPr>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14001:2004</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12 104 41478 TMS</w:t>
          </w:r>
          <w:r w:rsidRPr="00807D36">
            <w:rPr>
              <w:rFonts w:ascii="Tahoma" w:hAnsi="Tahoma" w:cs="Tahoma"/>
              <w:b/>
              <w:sz w:val="14"/>
              <w:szCs w:val="14"/>
            </w:rPr>
            <w:t xml:space="preserve"> Важи до </w:t>
          </w:r>
          <w:r w:rsidRPr="00807D36">
            <w:rPr>
              <w:rFonts w:ascii="Tahoma" w:hAnsi="Tahoma" w:cs="Tahoma"/>
              <w:sz w:val="14"/>
              <w:szCs w:val="14"/>
            </w:rPr>
            <w:t>14.09.2014.</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9001:2008</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12 100 41478 TMS</w:t>
          </w:r>
          <w:r w:rsidRPr="00807D36">
            <w:rPr>
              <w:rFonts w:ascii="Tahoma" w:hAnsi="Tahoma" w:cs="Tahoma"/>
              <w:b/>
              <w:sz w:val="14"/>
              <w:szCs w:val="14"/>
            </w:rPr>
            <w:t xml:space="preserve"> Важи до </w:t>
          </w:r>
          <w:r w:rsidRPr="00807D36">
            <w:rPr>
              <w:rFonts w:ascii="Tahoma" w:hAnsi="Tahoma" w:cs="Tahoma"/>
              <w:sz w:val="14"/>
              <w:szCs w:val="14"/>
            </w:rPr>
            <w:t>14.09.2014.</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17025:2006</w:t>
          </w:r>
        </w:p>
        <w:p w:rsidR="00EE3D8F" w:rsidRPr="00807D36" w:rsidRDefault="00EE3D8F" w:rsidP="00077703">
          <w:pPr>
            <w:jc w:val="center"/>
            <w:rPr>
              <w:rFonts w:ascii="Tahoma" w:hAnsi="Tahoma" w:cs="Tahoma"/>
              <w:sz w:val="16"/>
              <w:szCs w:val="16"/>
            </w:rPr>
          </w:pPr>
          <w:r w:rsidRPr="00807D36">
            <w:rPr>
              <w:rFonts w:ascii="Tahoma" w:hAnsi="Tahoma" w:cs="Tahoma"/>
              <w:b/>
              <w:sz w:val="14"/>
              <w:szCs w:val="14"/>
            </w:rPr>
            <w:t xml:space="preserve">Акр.бр. </w:t>
          </w:r>
          <w:r w:rsidRPr="00807D36">
            <w:rPr>
              <w:rFonts w:ascii="Tahoma" w:hAnsi="Tahoma" w:cs="Tahoma"/>
              <w:sz w:val="14"/>
              <w:szCs w:val="14"/>
            </w:rPr>
            <w:t>01-036</w:t>
          </w:r>
          <w:r w:rsidRPr="00807D36">
            <w:rPr>
              <w:rFonts w:ascii="Tahoma" w:hAnsi="Tahoma" w:cs="Tahoma"/>
              <w:b/>
              <w:sz w:val="14"/>
              <w:szCs w:val="14"/>
            </w:rPr>
            <w:t xml:space="preserve"> Важи до </w:t>
          </w:r>
          <w:r w:rsidRPr="00807D36">
            <w:rPr>
              <w:rFonts w:ascii="Tahoma" w:hAnsi="Tahoma" w:cs="Tahoma"/>
              <w:sz w:val="14"/>
              <w:szCs w:val="14"/>
            </w:rPr>
            <w:t>11.02.201</w:t>
          </w:r>
          <w:r>
            <w:rPr>
              <w:rFonts w:ascii="Tahoma" w:hAnsi="Tahoma" w:cs="Tahoma"/>
              <w:sz w:val="14"/>
              <w:szCs w:val="14"/>
            </w:rPr>
            <w:t>6</w:t>
          </w:r>
          <w:r w:rsidRPr="00807D36">
            <w:rPr>
              <w:rFonts w:ascii="Tahoma" w:hAnsi="Tahoma" w:cs="Tahoma"/>
              <w:sz w:val="14"/>
              <w:szCs w:val="14"/>
            </w:rPr>
            <w:t>.</w:t>
          </w:r>
        </w:p>
      </w:tc>
      <w:tc>
        <w:tcPr>
          <w:tcW w:w="2133" w:type="dxa"/>
        </w:tcPr>
        <w:p w:rsidR="00EE3D8F" w:rsidRPr="00807D36" w:rsidRDefault="00DC62F2" w:rsidP="00077703">
          <w:pPr>
            <w:jc w:val="right"/>
            <w:rPr>
              <w:rFonts w:ascii="Tahoma" w:hAnsi="Tahoma" w:cs="Tahoma"/>
              <w:sz w:val="16"/>
              <w:szCs w:val="16"/>
            </w:rPr>
          </w:pPr>
          <w:r>
            <w:rPr>
              <w:rFonts w:ascii="Tahoma" w:hAnsi="Tahoma" w:cs="Tahoma"/>
              <w:noProof/>
              <w:sz w:val="16"/>
              <w:szCs w:val="16"/>
            </w:rPr>
            <w:drawing>
              <wp:inline distT="0" distB="0" distL="0" distR="0">
                <wp:extent cx="693420" cy="914400"/>
                <wp:effectExtent l="19050" t="0" r="0" b="0"/>
                <wp:docPr id="2" name="Picture 2" descr="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znak Akreditacionog tela ATS"/>
                        <pic:cNvPicPr>
                          <a:picLocks noChangeAspect="1" noChangeArrowheads="1"/>
                        </pic:cNvPicPr>
                      </pic:nvPicPr>
                      <pic:blipFill>
                        <a:blip r:embed="rId2"/>
                        <a:srcRect/>
                        <a:stretch>
                          <a:fillRect/>
                        </a:stretch>
                      </pic:blipFill>
                      <pic:spPr bwMode="auto">
                        <a:xfrm>
                          <a:off x="0" y="0"/>
                          <a:ext cx="693420" cy="914400"/>
                        </a:xfrm>
                        <a:prstGeom prst="rect">
                          <a:avLst/>
                        </a:prstGeom>
                        <a:noFill/>
                        <a:ln w="9525">
                          <a:noFill/>
                          <a:miter lim="800000"/>
                          <a:headEnd/>
                          <a:tailEnd/>
                        </a:ln>
                      </pic:spPr>
                    </pic:pic>
                  </a:graphicData>
                </a:graphic>
              </wp:inline>
            </w:drawing>
          </w:r>
        </w:p>
      </w:tc>
    </w:tr>
  </w:tbl>
  <w:p w:rsidR="00BB495C" w:rsidRDefault="00BB495C" w:rsidP="00AA6893">
    <w:pPr>
      <w:pStyle w:val="Footer"/>
      <w:ind w:right="360"/>
    </w:pPr>
  </w:p>
  <w:p w:rsidR="00BB495C" w:rsidRPr="003B6895" w:rsidRDefault="00BB495C" w:rsidP="00AA6893">
    <w:pPr>
      <w:pStyle w:val="Footer"/>
    </w:pPr>
  </w:p>
  <w:p w:rsidR="00BB495C" w:rsidRDefault="00BB495C" w:rsidP="00AA68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57D" w:rsidRDefault="0069757D">
      <w:r>
        <w:separator/>
      </w:r>
    </w:p>
  </w:footnote>
  <w:footnote w:type="continuationSeparator" w:id="0">
    <w:p w:rsidR="0069757D" w:rsidRDefault="00697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3C768A"/>
    <w:multiLevelType w:val="hybridMultilevel"/>
    <w:tmpl w:val="461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731D2"/>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D76A8F"/>
    <w:multiLevelType w:val="hybridMultilevel"/>
    <w:tmpl w:val="3C54E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C4488F"/>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B409C7"/>
    <w:multiLevelType w:val="hybridMultilevel"/>
    <w:tmpl w:val="A82C3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7E2AF6"/>
    <w:multiLevelType w:val="multilevel"/>
    <w:tmpl w:val="1E447C38"/>
    <w:lvl w:ilvl="0">
      <w:start w:val="1"/>
      <w:numFmt w:val="decimal"/>
      <w:lvlText w:val="%1."/>
      <w:lvlJc w:val="left"/>
      <w:pPr>
        <w:ind w:left="501"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22"/>
  </w:hdrShapeDefaults>
  <w:footnotePr>
    <w:footnote w:id="-1"/>
    <w:footnote w:id="0"/>
  </w:footnotePr>
  <w:endnotePr>
    <w:endnote w:id="-1"/>
    <w:endnote w:id="0"/>
  </w:endnotePr>
  <w:compat/>
  <w:rsids>
    <w:rsidRoot w:val="007E5B67"/>
    <w:rsid w:val="0005008B"/>
    <w:rsid w:val="000539D1"/>
    <w:rsid w:val="0005461C"/>
    <w:rsid w:val="00063B69"/>
    <w:rsid w:val="00066C88"/>
    <w:rsid w:val="00077703"/>
    <w:rsid w:val="000A3BDF"/>
    <w:rsid w:val="000B5394"/>
    <w:rsid w:val="000B7FA9"/>
    <w:rsid w:val="000C3DE6"/>
    <w:rsid w:val="000C7480"/>
    <w:rsid w:val="000D1FB4"/>
    <w:rsid w:val="000D463A"/>
    <w:rsid w:val="0010447F"/>
    <w:rsid w:val="00122EF3"/>
    <w:rsid w:val="0012439F"/>
    <w:rsid w:val="00147292"/>
    <w:rsid w:val="001522DA"/>
    <w:rsid w:val="00156211"/>
    <w:rsid w:val="001659BA"/>
    <w:rsid w:val="001806C1"/>
    <w:rsid w:val="0018277F"/>
    <w:rsid w:val="0018498B"/>
    <w:rsid w:val="001A515D"/>
    <w:rsid w:val="001F6C3B"/>
    <w:rsid w:val="00221638"/>
    <w:rsid w:val="002B2ACE"/>
    <w:rsid w:val="002C4F74"/>
    <w:rsid w:val="00327202"/>
    <w:rsid w:val="003307D2"/>
    <w:rsid w:val="00346C2E"/>
    <w:rsid w:val="00353BEC"/>
    <w:rsid w:val="00367276"/>
    <w:rsid w:val="00382909"/>
    <w:rsid w:val="003A6CC8"/>
    <w:rsid w:val="003B3FC8"/>
    <w:rsid w:val="003E0BD3"/>
    <w:rsid w:val="003F6797"/>
    <w:rsid w:val="00415FAA"/>
    <w:rsid w:val="00443A47"/>
    <w:rsid w:val="0046526E"/>
    <w:rsid w:val="00490842"/>
    <w:rsid w:val="00493413"/>
    <w:rsid w:val="004E6940"/>
    <w:rsid w:val="00533064"/>
    <w:rsid w:val="00565B7B"/>
    <w:rsid w:val="00570F10"/>
    <w:rsid w:val="00577229"/>
    <w:rsid w:val="00596494"/>
    <w:rsid w:val="005D55AB"/>
    <w:rsid w:val="005E0F9F"/>
    <w:rsid w:val="005F351B"/>
    <w:rsid w:val="00600590"/>
    <w:rsid w:val="00652D5B"/>
    <w:rsid w:val="0067750E"/>
    <w:rsid w:val="0068799C"/>
    <w:rsid w:val="006974CB"/>
    <w:rsid w:val="0069757D"/>
    <w:rsid w:val="006A472A"/>
    <w:rsid w:val="006C749A"/>
    <w:rsid w:val="006D387F"/>
    <w:rsid w:val="00701050"/>
    <w:rsid w:val="0070107B"/>
    <w:rsid w:val="00715120"/>
    <w:rsid w:val="00717FD3"/>
    <w:rsid w:val="007276DD"/>
    <w:rsid w:val="00747876"/>
    <w:rsid w:val="00785B84"/>
    <w:rsid w:val="007A72B3"/>
    <w:rsid w:val="007C4DF4"/>
    <w:rsid w:val="007C795C"/>
    <w:rsid w:val="007E5B67"/>
    <w:rsid w:val="007F2027"/>
    <w:rsid w:val="008020D5"/>
    <w:rsid w:val="008038A4"/>
    <w:rsid w:val="008214AC"/>
    <w:rsid w:val="00837F8C"/>
    <w:rsid w:val="00854CD0"/>
    <w:rsid w:val="008939D7"/>
    <w:rsid w:val="00896F88"/>
    <w:rsid w:val="008B29CB"/>
    <w:rsid w:val="008B745B"/>
    <w:rsid w:val="008C5091"/>
    <w:rsid w:val="008D6729"/>
    <w:rsid w:val="008D6AF0"/>
    <w:rsid w:val="008E656F"/>
    <w:rsid w:val="00901EA8"/>
    <w:rsid w:val="00904D49"/>
    <w:rsid w:val="00942799"/>
    <w:rsid w:val="0095516F"/>
    <w:rsid w:val="0096265E"/>
    <w:rsid w:val="00963CC0"/>
    <w:rsid w:val="00983C17"/>
    <w:rsid w:val="0098575F"/>
    <w:rsid w:val="00986FA8"/>
    <w:rsid w:val="009B0C5E"/>
    <w:rsid w:val="009B6457"/>
    <w:rsid w:val="009C4319"/>
    <w:rsid w:val="009D775E"/>
    <w:rsid w:val="00A122D9"/>
    <w:rsid w:val="00A130DB"/>
    <w:rsid w:val="00A5650C"/>
    <w:rsid w:val="00A86056"/>
    <w:rsid w:val="00A903CC"/>
    <w:rsid w:val="00A95D37"/>
    <w:rsid w:val="00AA6893"/>
    <w:rsid w:val="00AB48FC"/>
    <w:rsid w:val="00AD7DB6"/>
    <w:rsid w:val="00B02D86"/>
    <w:rsid w:val="00B21A16"/>
    <w:rsid w:val="00B52ABC"/>
    <w:rsid w:val="00B672DE"/>
    <w:rsid w:val="00B87CB1"/>
    <w:rsid w:val="00B917FF"/>
    <w:rsid w:val="00B9366C"/>
    <w:rsid w:val="00BB495C"/>
    <w:rsid w:val="00BC1332"/>
    <w:rsid w:val="00BC151D"/>
    <w:rsid w:val="00C00378"/>
    <w:rsid w:val="00C17732"/>
    <w:rsid w:val="00C67B18"/>
    <w:rsid w:val="00C745B5"/>
    <w:rsid w:val="00C81CA8"/>
    <w:rsid w:val="00C85459"/>
    <w:rsid w:val="00C870FC"/>
    <w:rsid w:val="00CB16C1"/>
    <w:rsid w:val="00CB2F64"/>
    <w:rsid w:val="00CC2187"/>
    <w:rsid w:val="00CC4C5C"/>
    <w:rsid w:val="00CE19AF"/>
    <w:rsid w:val="00D00B98"/>
    <w:rsid w:val="00D23C95"/>
    <w:rsid w:val="00D411F5"/>
    <w:rsid w:val="00D62BDF"/>
    <w:rsid w:val="00D64A68"/>
    <w:rsid w:val="00D67ACF"/>
    <w:rsid w:val="00DA0D8D"/>
    <w:rsid w:val="00DA573B"/>
    <w:rsid w:val="00DC62F2"/>
    <w:rsid w:val="00DD64D2"/>
    <w:rsid w:val="00DF4F8D"/>
    <w:rsid w:val="00E06D2C"/>
    <w:rsid w:val="00E2169A"/>
    <w:rsid w:val="00E25154"/>
    <w:rsid w:val="00E44EF8"/>
    <w:rsid w:val="00E60D6E"/>
    <w:rsid w:val="00E85372"/>
    <w:rsid w:val="00EE23D4"/>
    <w:rsid w:val="00EE3D8F"/>
    <w:rsid w:val="00EE724C"/>
    <w:rsid w:val="00F24E42"/>
    <w:rsid w:val="00F37666"/>
    <w:rsid w:val="00F454E3"/>
    <w:rsid w:val="00F825EA"/>
    <w:rsid w:val="00FB1F5E"/>
    <w:rsid w:val="00FC3B48"/>
    <w:rsid w:val="00FE6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6861536">
      <w:bodyDiv w:val="1"/>
      <w:marLeft w:val="0"/>
      <w:marRight w:val="0"/>
      <w:marTop w:val="0"/>
      <w:marBottom w:val="0"/>
      <w:divBdr>
        <w:top w:val="none" w:sz="0" w:space="0" w:color="auto"/>
        <w:left w:val="none" w:sz="0" w:space="0" w:color="auto"/>
        <w:bottom w:val="none" w:sz="0" w:space="0" w:color="auto"/>
        <w:right w:val="none" w:sz="0" w:space="0" w:color="auto"/>
      </w:divBdr>
    </w:div>
    <w:div w:id="154418133">
      <w:bodyDiv w:val="1"/>
      <w:marLeft w:val="0"/>
      <w:marRight w:val="0"/>
      <w:marTop w:val="0"/>
      <w:marBottom w:val="0"/>
      <w:divBdr>
        <w:top w:val="none" w:sz="0" w:space="0" w:color="auto"/>
        <w:left w:val="none" w:sz="0" w:space="0" w:color="auto"/>
        <w:bottom w:val="none" w:sz="0" w:space="0" w:color="auto"/>
        <w:right w:val="none" w:sz="0" w:space="0" w:color="auto"/>
      </w:divBdr>
    </w:div>
    <w:div w:id="163515974">
      <w:bodyDiv w:val="1"/>
      <w:marLeft w:val="0"/>
      <w:marRight w:val="0"/>
      <w:marTop w:val="0"/>
      <w:marBottom w:val="0"/>
      <w:divBdr>
        <w:top w:val="none" w:sz="0" w:space="0" w:color="auto"/>
        <w:left w:val="none" w:sz="0" w:space="0" w:color="auto"/>
        <w:bottom w:val="none" w:sz="0" w:space="0" w:color="auto"/>
        <w:right w:val="none" w:sz="0" w:space="0" w:color="auto"/>
      </w:divBdr>
    </w:div>
    <w:div w:id="22611248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527447489">
      <w:bodyDiv w:val="1"/>
      <w:marLeft w:val="0"/>
      <w:marRight w:val="0"/>
      <w:marTop w:val="0"/>
      <w:marBottom w:val="0"/>
      <w:divBdr>
        <w:top w:val="none" w:sz="0" w:space="0" w:color="auto"/>
        <w:left w:val="none" w:sz="0" w:space="0" w:color="auto"/>
        <w:bottom w:val="none" w:sz="0" w:space="0" w:color="auto"/>
        <w:right w:val="none" w:sz="0" w:space="0" w:color="auto"/>
      </w:divBdr>
    </w:div>
    <w:div w:id="566302318">
      <w:bodyDiv w:val="1"/>
      <w:marLeft w:val="0"/>
      <w:marRight w:val="0"/>
      <w:marTop w:val="0"/>
      <w:marBottom w:val="0"/>
      <w:divBdr>
        <w:top w:val="none" w:sz="0" w:space="0" w:color="auto"/>
        <w:left w:val="none" w:sz="0" w:space="0" w:color="auto"/>
        <w:bottom w:val="none" w:sz="0" w:space="0" w:color="auto"/>
        <w:right w:val="none" w:sz="0" w:space="0" w:color="auto"/>
      </w:divBdr>
    </w:div>
    <w:div w:id="857307534">
      <w:bodyDiv w:val="1"/>
      <w:marLeft w:val="0"/>
      <w:marRight w:val="0"/>
      <w:marTop w:val="0"/>
      <w:marBottom w:val="0"/>
      <w:divBdr>
        <w:top w:val="none" w:sz="0" w:space="0" w:color="auto"/>
        <w:left w:val="none" w:sz="0" w:space="0" w:color="auto"/>
        <w:bottom w:val="none" w:sz="0" w:space="0" w:color="auto"/>
        <w:right w:val="none" w:sz="0" w:space="0" w:color="auto"/>
      </w:divBdr>
    </w:div>
    <w:div w:id="1143278732">
      <w:bodyDiv w:val="1"/>
      <w:marLeft w:val="0"/>
      <w:marRight w:val="0"/>
      <w:marTop w:val="0"/>
      <w:marBottom w:val="0"/>
      <w:divBdr>
        <w:top w:val="none" w:sz="0" w:space="0" w:color="auto"/>
        <w:left w:val="none" w:sz="0" w:space="0" w:color="auto"/>
        <w:bottom w:val="none" w:sz="0" w:space="0" w:color="auto"/>
        <w:right w:val="none" w:sz="0" w:space="0" w:color="auto"/>
      </w:divBdr>
    </w:div>
    <w:div w:id="1334380232">
      <w:bodyDiv w:val="1"/>
      <w:marLeft w:val="0"/>
      <w:marRight w:val="0"/>
      <w:marTop w:val="0"/>
      <w:marBottom w:val="0"/>
      <w:divBdr>
        <w:top w:val="none" w:sz="0" w:space="0" w:color="auto"/>
        <w:left w:val="none" w:sz="0" w:space="0" w:color="auto"/>
        <w:bottom w:val="none" w:sz="0" w:space="0" w:color="auto"/>
        <w:right w:val="none" w:sz="0" w:space="0" w:color="auto"/>
      </w:divBdr>
    </w:div>
    <w:div w:id="1699697505">
      <w:bodyDiv w:val="1"/>
      <w:marLeft w:val="0"/>
      <w:marRight w:val="0"/>
      <w:marTop w:val="0"/>
      <w:marBottom w:val="0"/>
      <w:divBdr>
        <w:top w:val="none" w:sz="0" w:space="0" w:color="auto"/>
        <w:left w:val="none" w:sz="0" w:space="0" w:color="auto"/>
        <w:bottom w:val="none" w:sz="0" w:space="0" w:color="auto"/>
        <w:right w:val="none" w:sz="0" w:space="0" w:color="auto"/>
      </w:divBdr>
    </w:div>
    <w:div w:id="1849441980">
      <w:bodyDiv w:val="1"/>
      <w:marLeft w:val="0"/>
      <w:marRight w:val="0"/>
      <w:marTop w:val="0"/>
      <w:marBottom w:val="0"/>
      <w:divBdr>
        <w:top w:val="none" w:sz="0" w:space="0" w:color="auto"/>
        <w:left w:val="none" w:sz="0" w:space="0" w:color="auto"/>
        <w:bottom w:val="none" w:sz="0" w:space="0" w:color="auto"/>
        <w:right w:val="none" w:sz="0" w:space="0" w:color="auto"/>
      </w:divBdr>
    </w:div>
    <w:div w:id="1918443355">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
    <w:div w:id="2128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D4D12-2DFD-4E46-9BB9-8891D609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Boza</dc:creator>
  <cp:lastModifiedBy>dusica.jovanovic</cp:lastModifiedBy>
  <cp:revision>16</cp:revision>
  <cp:lastPrinted>2014-07-03T11:22:00Z</cp:lastPrinted>
  <dcterms:created xsi:type="dcterms:W3CDTF">2013-12-20T15:57:00Z</dcterms:created>
  <dcterms:modified xsi:type="dcterms:W3CDTF">2014-07-03T11:22:00Z</dcterms:modified>
</cp:coreProperties>
</file>